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F6619" w14:textId="77777777" w:rsidR="000122A6" w:rsidRDefault="000122A6" w:rsidP="000122A6">
      <w:pPr>
        <w:pStyle w:val="Hlavika"/>
        <w:rPr>
          <w:rFonts w:ascii="Arial Narrow" w:hAnsi="Arial Narrow"/>
          <w:sz w:val="20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31C777E" wp14:editId="3620EF45">
            <wp:simplePos x="0" y="0"/>
            <wp:positionH relativeFrom="column">
              <wp:posOffset>3476625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28880362" wp14:editId="04F68DDD">
            <wp:simplePos x="0" y="0"/>
            <wp:positionH relativeFrom="column">
              <wp:posOffset>892720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6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01AD00CD" wp14:editId="65045DB6">
            <wp:simplePos x="0" y="0"/>
            <wp:positionH relativeFrom="column">
              <wp:posOffset>6644253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7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54ED77B2" w14:textId="6AD114C9" w:rsidR="000122A6" w:rsidRDefault="000122A6"/>
    <w:p w14:paraId="721757AE" w14:textId="048BA760" w:rsidR="000122A6" w:rsidRPr="000122A6" w:rsidRDefault="000122A6" w:rsidP="000122A6"/>
    <w:p w14:paraId="7CA0B668" w14:textId="3C82BE40" w:rsidR="000122A6" w:rsidRDefault="000122A6" w:rsidP="000122A6"/>
    <w:p w14:paraId="2D306FFF" w14:textId="77777777" w:rsidR="000122A6" w:rsidRDefault="000122A6" w:rsidP="000122A6">
      <w:pPr>
        <w:ind w:left="-426"/>
        <w:jc w:val="center"/>
        <w:rPr>
          <w:rFonts w:cstheme="minorHAnsi"/>
          <w:b/>
          <w:sz w:val="28"/>
        </w:rPr>
      </w:pPr>
    </w:p>
    <w:p w14:paraId="364551DE" w14:textId="77777777" w:rsidR="000122A6" w:rsidRPr="00387357" w:rsidRDefault="000122A6" w:rsidP="000122A6">
      <w:pPr>
        <w:ind w:left="-426"/>
        <w:jc w:val="center"/>
        <w:rPr>
          <w:rFonts w:cstheme="minorHAnsi"/>
          <w:b/>
          <w:sz w:val="28"/>
        </w:rPr>
      </w:pPr>
      <w:r w:rsidRPr="00387357">
        <w:rPr>
          <w:rFonts w:cstheme="minorHAnsi"/>
          <w:b/>
          <w:sz w:val="28"/>
        </w:rPr>
        <w:t>Špecifikácia rozsahu oprávnenej aktivity a oprávnených výdavkov</w:t>
      </w:r>
    </w:p>
    <w:p w14:paraId="1C628F63" w14:textId="77777777" w:rsidR="000122A6" w:rsidRPr="009B0208" w:rsidRDefault="000122A6" w:rsidP="000122A6">
      <w:pPr>
        <w:ind w:left="-426"/>
        <w:jc w:val="both"/>
        <w:rPr>
          <w:rFonts w:cstheme="minorHAnsi"/>
        </w:rPr>
      </w:pPr>
    </w:p>
    <w:p w14:paraId="0C23855C" w14:textId="77777777" w:rsidR="000122A6" w:rsidRPr="009B0208" w:rsidRDefault="000122A6" w:rsidP="000122A6">
      <w:pPr>
        <w:ind w:left="-426"/>
        <w:jc w:val="both"/>
        <w:rPr>
          <w:rFonts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0122A6" w:rsidRPr="009B0208" w14:paraId="2F1C3C6E" w14:textId="77777777" w:rsidTr="002802C5">
        <w:tc>
          <w:tcPr>
            <w:tcW w:w="14601" w:type="dxa"/>
            <w:shd w:val="clear" w:color="auto" w:fill="A6A6A6" w:themeFill="background1" w:themeFillShade="A6"/>
          </w:tcPr>
          <w:p w14:paraId="49BFDD55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609AE795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31B339F0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3C27ADD" w14:textId="77777777" w:rsidR="000122A6" w:rsidRPr="009B0208" w:rsidRDefault="000122A6" w:rsidP="000122A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16F03F7D" w14:textId="77777777" w:rsidR="000122A6" w:rsidRPr="009B0208" w:rsidRDefault="000122A6" w:rsidP="000122A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19C051AA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0209A387" w14:textId="77777777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6D3316F" w14:textId="77777777" w:rsidR="000122A6" w:rsidRPr="00D41226" w:rsidRDefault="000122A6" w:rsidP="002802C5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  <w:tr w:rsidR="000122A6" w:rsidRPr="009B0208" w14:paraId="48CF7FD5" w14:textId="77777777" w:rsidTr="002802C5">
        <w:tc>
          <w:tcPr>
            <w:tcW w:w="14601" w:type="dxa"/>
            <w:shd w:val="clear" w:color="auto" w:fill="A6A6A6" w:themeFill="background1" w:themeFillShade="A6"/>
          </w:tcPr>
          <w:p w14:paraId="3D63F115" w14:textId="77777777" w:rsidR="000122A6" w:rsidRDefault="000122A6" w:rsidP="002802C5">
            <w:pPr>
              <w:spacing w:before="60" w:after="60"/>
              <w:ind w:left="85" w:right="85"/>
              <w:jc w:val="both"/>
              <w:rPr>
                <w:rFonts w:cstheme="minorHAnsi"/>
                <w:b/>
              </w:rPr>
            </w:pPr>
          </w:p>
          <w:p w14:paraId="4810D530" w14:textId="5B67EFB6" w:rsidR="000122A6" w:rsidRPr="009B0208" w:rsidRDefault="000122A6" w:rsidP="002802C5">
            <w:pPr>
              <w:spacing w:before="60" w:after="60"/>
              <w:ind w:left="85" w:right="85"/>
              <w:jc w:val="both"/>
              <w:rPr>
                <w:rFonts w:cstheme="minorHAnsi"/>
                <w:b/>
              </w:rPr>
            </w:pPr>
          </w:p>
        </w:tc>
      </w:tr>
    </w:tbl>
    <w:p w14:paraId="7EC96A7F" w14:textId="5C95D44A" w:rsidR="000122A6" w:rsidRDefault="000122A6" w:rsidP="000122A6"/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930"/>
      </w:tblGrid>
      <w:tr w:rsidR="000122A6" w:rsidRPr="009B0208" w14:paraId="356D8D18" w14:textId="77777777" w:rsidTr="00280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7BDBAC4A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– Zlepšenie udržateľných vzťahov medzi vidieckymi rozvojovými centrami a ich zázemím vo verejných službách a vo verejných infraštruktúrach</w:t>
            </w:r>
          </w:p>
        </w:tc>
      </w:tr>
      <w:tr w:rsidR="000122A6" w:rsidRPr="009B0208" w14:paraId="63E00FC3" w14:textId="77777777" w:rsidTr="002802C5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46CA8F16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0122A6" w:rsidRPr="009B0208" w14:paraId="43C04058" w14:textId="77777777" w:rsidTr="002802C5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25C9A4B3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C1.Komunité sociálne služby</w:t>
            </w:r>
          </w:p>
        </w:tc>
      </w:tr>
      <w:tr w:rsidR="000122A6" w:rsidRPr="009B0208" w14:paraId="3C127CEB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4171373A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2F607BF2" w14:textId="77777777" w:rsidR="000122A6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zriaďovanie nových alebo rekonštrukcia a modernizácia existujúcich zariadení pre poskytovanie komunitných sociálnych služieb vrátane materiálno-technického vybavenia,</w:t>
            </w:r>
            <w:r w:rsidRPr="009B0208" w:rsidDel="000867AB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237FBE85" w14:textId="77777777" w:rsidR="000122A6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6BCB25B" w14:textId="77777777" w:rsidR="000122A6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Pozn. Popis oprávnenej aktivity sa vzťahuje aj na  denné stacionáre pre seniorov </w:t>
            </w:r>
          </w:p>
          <w:p w14:paraId="4013362F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0122A6" w:rsidRPr="009B0208" w14:paraId="73990158" w14:textId="77777777" w:rsidTr="002802C5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2C4F2707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0122A6" w:rsidRPr="009B0208" w14:paraId="57BA171F" w14:textId="77777777" w:rsidTr="002802C5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FD589F3" w14:textId="77777777" w:rsidR="000122A6" w:rsidRPr="009B0208" w:rsidRDefault="000122A6" w:rsidP="002802C5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93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F81BD"/>
          </w:tcPr>
          <w:p w14:paraId="4E1A0837" w14:textId="77777777" w:rsidR="000122A6" w:rsidRPr="009B0208" w:rsidRDefault="000122A6" w:rsidP="00280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0122A6" w:rsidRPr="009B0208" w14:paraId="075BD9FE" w14:textId="77777777" w:rsidTr="002802C5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915E4BE" w14:textId="77777777" w:rsidR="000122A6" w:rsidRPr="009B0208" w:rsidRDefault="000122A6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– Stavebné práce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7F516C0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realizácia nových objektov a zariadení komunitných sociálnych služieb, </w:t>
            </w:r>
          </w:p>
          <w:p w14:paraId="1076B9C4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rekonštrukcia a modernizácia objektov a zariadení komunitných sociálnych služieb, </w:t>
            </w:r>
          </w:p>
          <w:p w14:paraId="35C14AFA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prístavby, nadstavby, stavebné úpravy objektov a zariadení komunitných sociálnych služieb, </w:t>
            </w:r>
          </w:p>
          <w:p w14:paraId="53662A31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stavebno-technické úpravy areálu zariadenia komunitných sociálnych služieb, sadové úpravy a zeleň,</w:t>
            </w:r>
          </w:p>
          <w:p w14:paraId="116D7DAF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ako doplnková aktivita k stavebným úpravám budov rekonštrukcia stavieb so zameraním na zvyšovanie energetickej hospodárnosti budov:</w:t>
            </w:r>
          </w:p>
          <w:p w14:paraId="307B5AEC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3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opatrení na zlepšenie tepelno-technických vlastností konštrukcií, najmä obnova obvodového plášťa, oprava a výmena strešného plášťa vrátane strešnej krytiny, resp. povrchu plochých striech, oprava a výmena výplňových konštrukcií, opravy technického, energetického alebo technologického vybavenia a zariadení objektu, ako aj výmena jeho súčastí (najmä výmena zdrojov tepla, vykurovacích telies a vnútorných inštalačných rozvodov),</w:t>
            </w:r>
          </w:p>
        </w:tc>
      </w:tr>
      <w:tr w:rsidR="000122A6" w:rsidRPr="009B0208" w14:paraId="7E8927F5" w14:textId="77777777" w:rsidTr="002802C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69C698F9" w14:textId="77777777" w:rsidR="000122A6" w:rsidRPr="009B0208" w:rsidRDefault="000122A6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 súbory hnuteľných vecí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2E76F0A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039B794D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  <w:tr w:rsidR="000122A6" w:rsidRPr="009B0208" w14:paraId="3A968234" w14:textId="77777777" w:rsidTr="002802C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6ECEE08C" w14:textId="77777777" w:rsidR="000122A6" w:rsidRPr="009B0208" w:rsidRDefault="000122A6" w:rsidP="002802C5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930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118943D6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nákup interiérového vybavenia zariadení komunitných sociálnych služieb, </w:t>
            </w:r>
          </w:p>
          <w:p w14:paraId="59FC2EA6" w14:textId="77777777" w:rsidR="000122A6" w:rsidRPr="009B0208" w:rsidRDefault="000122A6" w:rsidP="000122A6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 zariadení vrátane prvého zaškolenia obsluhy (ak relevantné)</w:t>
            </w:r>
          </w:p>
        </w:tc>
      </w:tr>
    </w:tbl>
    <w:p w14:paraId="7AFDF638" w14:textId="4141C4B0" w:rsidR="000122A6" w:rsidRPr="000122A6" w:rsidRDefault="000122A6" w:rsidP="000122A6"/>
    <w:sectPr w:rsidR="000122A6" w:rsidRPr="000122A6" w:rsidSect="00012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9D22" w14:textId="77777777" w:rsidR="00F55C11" w:rsidRDefault="00F55C11" w:rsidP="000122A6">
      <w:pPr>
        <w:spacing w:after="0" w:line="240" w:lineRule="auto"/>
      </w:pPr>
      <w:r>
        <w:separator/>
      </w:r>
    </w:p>
  </w:endnote>
  <w:endnote w:type="continuationSeparator" w:id="0">
    <w:p w14:paraId="3FD4AF8D" w14:textId="77777777" w:rsidR="00F55C11" w:rsidRDefault="00F55C11" w:rsidP="0001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A6A4" w14:textId="77777777" w:rsidR="00F55C11" w:rsidRDefault="00F55C11" w:rsidP="000122A6">
      <w:pPr>
        <w:spacing w:after="0" w:line="240" w:lineRule="auto"/>
      </w:pPr>
      <w:r>
        <w:separator/>
      </w:r>
    </w:p>
  </w:footnote>
  <w:footnote w:type="continuationSeparator" w:id="0">
    <w:p w14:paraId="6F8B5DB7" w14:textId="77777777" w:rsidR="00F55C11" w:rsidRDefault="00F55C11" w:rsidP="000122A6">
      <w:pPr>
        <w:spacing w:after="0" w:line="240" w:lineRule="auto"/>
      </w:pPr>
      <w:r>
        <w:continuationSeparator/>
      </w:r>
    </w:p>
  </w:footnote>
  <w:footnote w:id="1">
    <w:p w14:paraId="69470EEA" w14:textId="77777777" w:rsidR="000122A6" w:rsidRDefault="000122A6" w:rsidP="000122A6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A6"/>
    <w:rsid w:val="000122A6"/>
    <w:rsid w:val="00AB31FF"/>
    <w:rsid w:val="00D8503E"/>
    <w:rsid w:val="00F5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1A27"/>
  <w15:chartTrackingRefBased/>
  <w15:docId w15:val="{4AFED4AB-07AD-4936-B4B9-2FC541C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0122A6"/>
    <w:pPr>
      <w:spacing w:after="0" w:line="220" w:lineRule="atLeast"/>
      <w:jc w:val="right"/>
    </w:pPr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0122A6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0122A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0122A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012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0122A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0122A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0122A6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0122A6"/>
  </w:style>
  <w:style w:type="character" w:styleId="Zvraznenie">
    <w:name w:val="Emphasis"/>
    <w:basedOn w:val="Predvolenpsmoodseku"/>
    <w:uiPriority w:val="20"/>
    <w:qFormat/>
    <w:rsid w:val="000122A6"/>
    <w:rPr>
      <w:i/>
      <w:iCs/>
    </w:rPr>
  </w:style>
  <w:style w:type="paragraph" w:customStyle="1" w:styleId="Default">
    <w:name w:val="Default"/>
    <w:rsid w:val="000122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0122A6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F2FC.E4E93F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TRI DOLINY</dc:creator>
  <cp:keywords/>
  <dc:description/>
  <cp:lastModifiedBy>MAS TRI DOLINY</cp:lastModifiedBy>
  <cp:revision>2</cp:revision>
  <dcterms:created xsi:type="dcterms:W3CDTF">2021-08-05T08:18:00Z</dcterms:created>
  <dcterms:modified xsi:type="dcterms:W3CDTF">2021-08-09T11:08:00Z</dcterms:modified>
</cp:coreProperties>
</file>